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35"/>
        <w:gridCol w:w="1935"/>
        <w:gridCol w:w="1935"/>
        <w:gridCol w:w="1935"/>
        <w:gridCol w:w="1935"/>
        <w:gridCol w:w="1935"/>
        <w:gridCol w:w="1935"/>
        <w:gridCol w:w="1935"/>
      </w:tblGrid>
      <w:tr>
        <w:tc>
          <w:tcPr>
            <w:tcW w:type="dxa" w:w="1935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STT</w:t>
            </w:r>
          </w:p>
        </w:tc>
        <w:tc>
          <w:tcPr>
            <w:tcW w:type="dxa" w:w="1935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Chênh lệch giữa giá trị hợp lý và giá trị ghi sổ của TSCĐ</w:t>
            </w:r>
          </w:p>
        </w:tc>
        <w:tc>
          <w:tcPr>
            <w:tcW w:type="dxa" w:w="1935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Tổng số chênh lệch</w:t>
            </w:r>
          </w:p>
        </w:tc>
        <w:tc>
          <w:tcPr>
            <w:tcW w:type="dxa" w:w="1935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Thời gian khấu hao (phân bổ)</w:t>
            </w:r>
          </w:p>
        </w:tc>
        <w:tc>
          <w:tcPr>
            <w:tcW w:type="dxa" w:w="1935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Năm</w:t>
            </w:r>
          </w:p>
        </w:tc>
        <w:tc>
          <w:tcPr>
            <w:tcW w:type="dxa" w:w="1935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Năm</w:t>
            </w:r>
          </w:p>
        </w:tc>
        <w:tc>
          <w:tcPr>
            <w:tcW w:type="dxa" w:w="1935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Năm</w:t>
            </w:r>
          </w:p>
        </w:tc>
        <w:tc>
          <w:tcPr>
            <w:tcW w:type="dxa" w:w="1935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……</w:t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Công ty liên doanh, liên kết A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- TSCĐ 1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- TSCĐ 2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- ……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Cộng số phân bổ hàng năm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Công ty liên doanh, liên kết B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- TSCĐ 1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- TSCĐ 2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- …….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Cộng số phân bổ hàng năm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Công ty liên doanh, liên kết C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- TSCĐ 1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- TSCĐ 2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- …….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Cộng số phân bổ hàng năm</w:t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935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6838" w:h="11906" w:orient="landscape"/>
      <w:pgMar w:top="794" w:right="680" w:bottom="79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Times New Roman" w:hAnsi="Times New Roman" w:eastAsia="Times New Roman"/>
        <w:color w:val="5C6862"/>
        <w:sz w:val="18"/>
      </w:rPr>
      <w:t xml:space="preserve">Hợp nhất báo cáo tài chính (TT 202/2014, sửa đổi bởi TT 43/2026) — biểu mẫu tải tại </w:t>
    </w:r>
    <w:hyperlink r:id="rId1">
      <w:r>
        <w:rPr>
          <w:rFonts w:ascii="Times New Roman" w:hAnsi="Times New Roman" w:eastAsia="Times New Roman"/>
          <w:color w:val="0B6E4F"/>
          <w:u w:val="single"/>
          <w:sz w:val="18"/>
        </w:rPr>
        <w:t>chedo.ketoanthue.net</w:t>
      </w:r>
    </w:hyperlink>
    <w:r>
      <w:rPr>
        <w:rFonts w:ascii="Times New Roman" w:hAnsi="Times New Roman" w:eastAsia="Times New Roman"/>
        <w:color w:val="5C6862"/>
        <w:sz w:val="18"/>
      </w:rPr>
      <w:t>. Đối chiếu bản công bố của Bộ Tài chính khi áp dụng chính thức.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Times New Roman" w:hAnsi="Times New Roman" w:eastAsia="Times New Roman"/>
        <w:b/>
        <w:color w:val="0B6E4F"/>
        <w:sz w:val="18"/>
      </w:rPr>
      <w:t>Chế Độ Kế Toán · ketoanthue.net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5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chedo.ketoanth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