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eastAsia="Times New Roman"/>
          <w:sz w:val="25"/>
        </w:rPr>
        <w:t>Năm tài chính ……………</w:t>
      </w:r>
    </w:p>
    <w:tbl>
      <w:tblPr>
        <w:tblStyle w:val="TableGrid"/>
        <w:tblW w:type="auto" w:w="0"/>
        <w:jc w:val="center"/>
        <w:tblLayout w:type="fixed"/>
        <w:tblLook w:firstColumn="1" w:firstRow="1" w:lastColumn="0" w:lastRow="0" w:noHBand="0" w:noVBand="1" w:val="04A0"/>
      </w:tblPr>
      <w:tblGrid>
        <w:gridCol w:w="1407"/>
        <w:gridCol w:w="1407"/>
        <w:gridCol w:w="1407"/>
        <w:gridCol w:w="1407"/>
        <w:gridCol w:w="1407"/>
        <w:gridCol w:w="1407"/>
        <w:gridCol w:w="1407"/>
        <w:gridCol w:w="1407"/>
        <w:gridCol w:w="1407"/>
        <w:gridCol w:w="1407"/>
        <w:gridCol w:w="1407"/>
      </w:tblGrid>
      <w:tr>
        <w:tc>
          <w:tcPr>
            <w:tcW w:type="dxa" w:w="1407"/>
          </w:tcPr>
          <w:p>
            <w:pPr>
              <w:spacing w:before="20" w:after="20"/>
              <w:jc w:val="center"/>
            </w:pPr>
            <w:r>
              <w:rPr>
                <w:rFonts w:ascii="Times New Roman" w:hAnsi="Times New Roman" w:eastAsia="Times New Roman"/>
                <w:b/>
                <w:sz w:val="18"/>
              </w:rPr>
              <w:t>Chứng từ</w:t>
            </w:r>
          </w:p>
        </w:tc>
        <w:tc>
          <w:tcPr>
            <w:tcW w:type="dxa" w:w="1407"/>
          </w:tcPr>
          <w:p>
            <w:pPr>
              <w:spacing w:before="20" w:after="20"/>
              <w:jc w:val="center"/>
            </w:pPr>
            <w:r>
              <w:rPr>
                <w:rFonts w:ascii="Times New Roman" w:hAnsi="Times New Roman" w:eastAsia="Times New Roman"/>
                <w:b/>
                <w:sz w:val="18"/>
              </w:rPr>
              <w:t>Chứng từ</w:t>
            </w:r>
          </w:p>
        </w:tc>
        <w:tc>
          <w:tcPr>
            <w:tcW w:type="dxa" w:w="1407"/>
          </w:tcPr>
          <w:p>
            <w:pPr>
              <w:spacing w:before="20" w:after="20"/>
              <w:jc w:val="center"/>
            </w:pPr>
            <w:r>
              <w:rPr>
                <w:rFonts w:ascii="Times New Roman" w:hAnsi="Times New Roman" w:eastAsia="Times New Roman"/>
                <w:b/>
                <w:sz w:val="18"/>
              </w:rPr>
            </w:r>
          </w:p>
        </w:tc>
        <w:tc>
          <w:tcPr>
            <w:tcW w:type="dxa" w:w="1407"/>
          </w:tcPr>
          <w:p>
            <w:pPr>
              <w:spacing w:before="20" w:after="20"/>
              <w:jc w:val="center"/>
            </w:pPr>
            <w:r>
              <w:rPr>
                <w:rFonts w:ascii="Times New Roman" w:hAnsi="Times New Roman" w:eastAsia="Times New Roman"/>
                <w:b/>
                <w:sz w:val="18"/>
              </w:rPr>
              <w:t>Giá trị ghi sổ khoản đầu tư vào công ty liên doanh, liên kết đầu kỳ</w:t>
            </w:r>
          </w:p>
        </w:tc>
        <w:tc>
          <w:tcPr>
            <w:tcW w:type="dxa" w:w="1407"/>
          </w:tcPr>
          <w:p>
            <w:pPr>
              <w:spacing w:before="20" w:after="20"/>
              <w:jc w:val="center"/>
            </w:pPr>
            <w:r>
              <w:rPr>
                <w:rFonts w:ascii="Times New Roman" w:hAnsi="Times New Roman" w:eastAsia="Times New Roman"/>
                <w:b/>
                <w:sz w:val="18"/>
              </w:rPr>
              <w:t>Các khoản được điều chỉnh tăng (giảm) giá trị ghi sổ của khoản đầu tư trong kỳ</w:t>
            </w:r>
          </w:p>
        </w:tc>
        <w:tc>
          <w:tcPr>
            <w:tcW w:type="dxa" w:w="1407"/>
          </w:tcPr>
          <w:p>
            <w:pPr>
              <w:spacing w:before="20" w:after="20"/>
              <w:jc w:val="center"/>
            </w:pPr>
            <w:r>
              <w:rPr>
                <w:rFonts w:ascii="Times New Roman" w:hAnsi="Times New Roman" w:eastAsia="Times New Roman"/>
                <w:b/>
                <w:sz w:val="18"/>
              </w:rPr>
              <w:t>Các khoản được điều chỉnh tăng (giảm) giá trị ghi sổ của khoản đầu tư trong kỳ</w:t>
            </w:r>
          </w:p>
        </w:tc>
        <w:tc>
          <w:tcPr>
            <w:tcW w:type="dxa" w:w="1407"/>
          </w:tcPr>
          <w:p>
            <w:pPr>
              <w:spacing w:before="20" w:after="20"/>
              <w:jc w:val="center"/>
            </w:pPr>
            <w:r>
              <w:rPr>
                <w:rFonts w:ascii="Times New Roman" w:hAnsi="Times New Roman" w:eastAsia="Times New Roman"/>
                <w:b/>
                <w:sz w:val="18"/>
              </w:rPr>
              <w:t>Các khoản được điều chỉnh tăng (giảm) giá trị ghi sổ của khoản đầu tư trong kỳ</w:t>
            </w:r>
          </w:p>
        </w:tc>
        <w:tc>
          <w:tcPr>
            <w:tcW w:type="dxa" w:w="1407"/>
          </w:tcPr>
          <w:p>
            <w:pPr>
              <w:spacing w:before="20" w:after="20"/>
              <w:jc w:val="center"/>
            </w:pPr>
            <w:r>
              <w:rPr>
                <w:rFonts w:ascii="Times New Roman" w:hAnsi="Times New Roman" w:eastAsia="Times New Roman"/>
                <w:b/>
                <w:sz w:val="18"/>
              </w:rPr>
              <w:t>Các khoản được điều chỉnh tăng (giảm) giá trị ghi sổ của khoản đầu tư trong kỳ</w:t>
            </w:r>
          </w:p>
        </w:tc>
        <w:tc>
          <w:tcPr>
            <w:tcW w:type="dxa" w:w="1407"/>
          </w:tcPr>
          <w:p>
            <w:pPr>
              <w:spacing w:before="20" w:after="20"/>
              <w:jc w:val="center"/>
            </w:pPr>
            <w:r>
              <w:rPr>
                <w:rFonts w:ascii="Times New Roman" w:hAnsi="Times New Roman" w:eastAsia="Times New Roman"/>
                <w:b/>
                <w:sz w:val="18"/>
              </w:rPr>
              <w:t>Các khoản được điều chỉnh tăng (giảm) giá trị ghi sổ của khoản đầu tư trong kỳ</w:t>
            </w:r>
          </w:p>
        </w:tc>
        <w:tc>
          <w:tcPr>
            <w:tcW w:type="dxa" w:w="1407"/>
          </w:tcPr>
          <w:p>
            <w:pPr>
              <w:spacing w:before="20" w:after="20"/>
              <w:jc w:val="center"/>
            </w:pPr>
            <w:r>
              <w:rPr>
                <w:rFonts w:ascii="Times New Roman" w:hAnsi="Times New Roman" w:eastAsia="Times New Roman"/>
                <w:b/>
                <w:sz w:val="18"/>
              </w:rPr>
              <w:t>Giá trị Ghi sổ khoản đầu tư vào công ty liên doanh, liên kết cuối kỳ</w:t>
            </w:r>
          </w:p>
        </w:tc>
        <w:tc>
          <w:tcPr>
            <w:tcW w:type="dxa" w:w="1407"/>
          </w:tcPr>
          <w:p>
            <w:pPr>
              <w:spacing w:before="20" w:after="20"/>
              <w:jc w:val="center"/>
            </w:pPr>
            <w:r>
              <w:rPr>
                <w:rFonts w:ascii="Times New Roman" w:hAnsi="Times New Roman" w:eastAsia="Times New Roman"/>
                <w:b/>
                <w:sz w:val="18"/>
              </w:rPr>
              <w:t>Giá trị Ghi sổ khoản đầu tư vào công ty liên doanh, liên kết cuối kỳ</w:t>
            </w:r>
          </w:p>
        </w:tc>
      </w:tr>
      <w:tr>
        <w:tc>
          <w:tcPr>
            <w:tcW w:type="dxa" w:w="1407"/>
          </w:tcPr>
          <w:p>
            <w:pPr>
              <w:spacing w:before="20" w:after="20"/>
              <w:jc w:val="left"/>
            </w:pPr>
            <w:r>
              <w:rPr>
                <w:rFonts w:ascii="Times New Roman" w:hAnsi="Times New Roman" w:eastAsia="Times New Roman"/>
                <w:b w:val="0"/>
                <w:sz w:val="18"/>
              </w:rPr>
              <w:t>Số hiệu</w:t>
            </w:r>
          </w:p>
        </w:tc>
        <w:tc>
          <w:tcPr>
            <w:tcW w:type="dxa" w:w="1407"/>
          </w:tcPr>
          <w:p>
            <w:pPr>
              <w:spacing w:before="20" w:after="20"/>
              <w:jc w:val="left"/>
            </w:pPr>
            <w:r>
              <w:rPr>
                <w:rFonts w:ascii="Times New Roman" w:hAnsi="Times New Roman" w:eastAsia="Times New Roman"/>
                <w:b w:val="0"/>
                <w:sz w:val="18"/>
              </w:rPr>
              <w:t>Ngày tháng</w:t>
            </w:r>
          </w:p>
        </w:tc>
        <w:tc>
          <w:tcPr>
            <w:tcW w:type="dxa" w:w="1407"/>
          </w:tcPr>
          <w:p>
            <w:pPr>
              <w:spacing w:before="20" w:after="20"/>
              <w:jc w:val="left"/>
            </w:pPr>
            <w:r>
              <w:rPr>
                <w:rFonts w:ascii="Times New Roman" w:hAnsi="Times New Roman" w:eastAsia="Times New Roman"/>
                <w:b w:val="0"/>
                <w:sz w:val="18"/>
              </w:rPr>
              <w:t>Diễn giải</w:t>
            </w:r>
          </w:p>
        </w:tc>
        <w:tc>
          <w:tcPr>
            <w:tcW w:type="dxa" w:w="1407"/>
          </w:tcPr>
          <w:p>
            <w:pPr>
              <w:spacing w:before="20" w:after="20"/>
              <w:jc w:val="left"/>
            </w:pPr>
            <w:r>
              <w:rPr>
                <w:rFonts w:ascii="Times New Roman" w:hAnsi="Times New Roman" w:eastAsia="Times New Roman"/>
                <w:b w:val="0"/>
                <w:sz w:val="18"/>
              </w:rPr>
              <w:t>Giá trị ghi sổ khoản đầu tư vào công ty liên doanh, liên kết đầu kỳ</w:t>
            </w:r>
          </w:p>
        </w:tc>
        <w:tc>
          <w:tcPr>
            <w:tcW w:type="dxa" w:w="1407"/>
          </w:tcPr>
          <w:p>
            <w:pPr>
              <w:spacing w:before="20" w:after="20"/>
              <w:jc w:val="left"/>
            </w:pPr>
            <w:r>
              <w:rPr>
                <w:rFonts w:ascii="Times New Roman" w:hAnsi="Times New Roman" w:eastAsia="Times New Roman"/>
                <w:b w:val="0"/>
                <w:sz w:val="18"/>
              </w:rPr>
              <w:t>Khoản điều chỉnh tương ứng với phần sở hữu của nhà đầu tư trong lợi nhuận hoặc lỗ của công ty liên doanh, liên kết trong kỳ</w:t>
            </w:r>
          </w:p>
        </w:tc>
        <w:tc>
          <w:tcPr>
            <w:tcW w:type="dxa" w:w="1407"/>
          </w:tcPr>
          <w:p>
            <w:pPr>
              <w:spacing w:before="20" w:after="20"/>
              <w:jc w:val="left"/>
            </w:pPr>
            <w:r>
              <w:rPr>
                <w:rFonts w:ascii="Times New Roman" w:hAnsi="Times New Roman" w:eastAsia="Times New Roman"/>
                <w:b w:val="0"/>
                <w:sz w:val="18"/>
              </w:rPr>
              <w:t>Khoản điều chỉnh do báo cáo tài chính của nhà đầu tư và công ty liên doanh, liên kết được lập khác ngày</w:t>
            </w:r>
          </w:p>
        </w:tc>
        <w:tc>
          <w:tcPr>
            <w:tcW w:type="dxa" w:w="1407"/>
          </w:tcPr>
          <w:p>
            <w:pPr>
              <w:spacing w:before="20" w:after="20"/>
              <w:jc w:val="left"/>
            </w:pPr>
            <w:r>
              <w:rPr>
                <w:rFonts w:ascii="Times New Roman" w:hAnsi="Times New Roman" w:eastAsia="Times New Roman"/>
                <w:b w:val="0"/>
                <w:sz w:val="18"/>
              </w:rPr>
              <w:t>Khoản điều chỉnh do nhà đầu tư và công ty liên doanh, liên kết không áp dụng thống nhất chính sách kế toán</w:t>
            </w:r>
          </w:p>
        </w:tc>
        <w:tc>
          <w:tcPr>
            <w:tcW w:type="dxa" w:w="1407"/>
          </w:tcPr>
          <w:p>
            <w:pPr>
              <w:spacing w:before="20" w:after="20"/>
              <w:jc w:val="left"/>
            </w:pPr>
            <w:r>
              <w:rPr>
                <w:rFonts w:ascii="Times New Roman" w:hAnsi="Times New Roman" w:eastAsia="Times New Roman"/>
                <w:b w:val="0"/>
                <w:sz w:val="18"/>
              </w:rPr>
              <w:t>Phần điều chỉnh tăng (giảm) khoản đầu tư theo thay đổi của vốn chủ sở hữu của công ty liên kết nhưng không được phản ánh vào Báo cáo kết quả kinh doanh của công ty liên doanh, liên kết</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t>1</w:t>
            </w:r>
          </w:p>
        </w:tc>
        <w:tc>
          <w:tcPr>
            <w:tcW w:type="dxa" w:w="1407"/>
          </w:tcPr>
          <w:p>
            <w:pPr>
              <w:spacing w:before="20" w:after="20"/>
              <w:jc w:val="left"/>
            </w:pPr>
            <w:r>
              <w:rPr>
                <w:rFonts w:ascii="Times New Roman" w:hAnsi="Times New Roman" w:eastAsia="Times New Roman"/>
                <w:b w:val="0"/>
                <w:sz w:val="18"/>
              </w:rPr>
              <w:t>2</w:t>
            </w:r>
          </w:p>
        </w:tc>
        <w:tc>
          <w:tcPr>
            <w:tcW w:type="dxa" w:w="1407"/>
          </w:tcPr>
          <w:p>
            <w:pPr>
              <w:spacing w:before="20" w:after="20"/>
              <w:jc w:val="left"/>
            </w:pPr>
            <w:r>
              <w:rPr>
                <w:rFonts w:ascii="Times New Roman" w:hAnsi="Times New Roman" w:eastAsia="Times New Roman"/>
                <w:b w:val="0"/>
                <w:sz w:val="18"/>
              </w:rPr>
              <w:t>3</w:t>
            </w:r>
          </w:p>
        </w:tc>
        <w:tc>
          <w:tcPr>
            <w:tcW w:type="dxa" w:w="1407"/>
          </w:tcPr>
          <w:p>
            <w:pPr>
              <w:spacing w:before="20" w:after="20"/>
              <w:jc w:val="left"/>
            </w:pPr>
            <w:r>
              <w:rPr>
                <w:rFonts w:ascii="Times New Roman" w:hAnsi="Times New Roman" w:eastAsia="Times New Roman"/>
                <w:b w:val="0"/>
                <w:sz w:val="18"/>
              </w:rPr>
              <w:t>4</w:t>
            </w:r>
          </w:p>
        </w:tc>
        <w:tc>
          <w:tcPr>
            <w:tcW w:type="dxa" w:w="1407"/>
          </w:tcPr>
          <w:p>
            <w:pPr>
              <w:spacing w:before="20" w:after="20"/>
              <w:jc w:val="left"/>
            </w:pPr>
            <w:r>
              <w:rPr>
                <w:rFonts w:ascii="Times New Roman" w:hAnsi="Times New Roman" w:eastAsia="Times New Roman"/>
                <w:b w:val="0"/>
                <w:sz w:val="18"/>
              </w:rPr>
              <w:t>5</w:t>
            </w:r>
          </w:p>
        </w:tc>
        <w:tc>
          <w:tcPr>
            <w:tcW w:type="dxa" w:w="1407"/>
          </w:tcPr>
          <w:p>
            <w:pPr>
              <w:spacing w:before="20" w:after="20"/>
              <w:jc w:val="left"/>
            </w:pPr>
            <w:r>
              <w:rPr>
                <w:rFonts w:ascii="Times New Roman" w:hAnsi="Times New Roman" w:eastAsia="Times New Roman"/>
                <w:b w:val="0"/>
                <w:sz w:val="18"/>
              </w:rPr>
              <w:t>6</w:t>
            </w:r>
          </w:p>
        </w:tc>
        <w:tc>
          <w:tcPr>
            <w:tcW w:type="dxa" w:w="1407"/>
          </w:tcPr>
          <w:p>
            <w:pPr>
              <w:spacing w:before="20" w:after="20"/>
              <w:jc w:val="left"/>
            </w:pPr>
            <w:r>
              <w:rPr>
                <w:rFonts w:ascii="Times New Roman" w:hAnsi="Times New Roman" w:eastAsia="Times New Roman"/>
                <w:b w:val="0"/>
                <w:sz w:val="18"/>
              </w:rPr>
              <w:t>7</w:t>
            </w:r>
          </w:p>
        </w:tc>
        <w:tc>
          <w:tcPr>
            <w:tcW w:type="dxa" w:w="1407"/>
          </w:tcPr>
          <w:p>
            <w:pPr>
              <w:spacing w:before="20" w:after="20"/>
              <w:jc w:val="left"/>
            </w:pPr>
            <w:r>
              <w:rPr>
                <w:rFonts w:ascii="Times New Roman" w:hAnsi="Times New Roman" w:eastAsia="Times New Roman"/>
                <w:b w:val="0"/>
                <w:sz w:val="18"/>
              </w:rPr>
              <w:t>8</w:t>
            </w:r>
          </w:p>
        </w:tc>
        <w:tc>
          <w:tcPr>
            <w:tcW w:type="dxa" w:w="1407"/>
          </w:tcPr>
          <w:p>
            <w:pPr>
              <w:spacing w:before="20" w:after="20"/>
              <w:jc w:val="left"/>
            </w:pPr>
            <w:r>
              <w:rPr>
                <w:rFonts w:ascii="Times New Roman" w:hAnsi="Times New Roman" w:eastAsia="Times New Roman"/>
                <w:b w:val="0"/>
                <w:sz w:val="18"/>
              </w:rPr>
              <w:t>9</w:t>
            </w:r>
          </w:p>
        </w:tc>
        <w:tc>
          <w:tcPr>
            <w:tcW w:type="dxa" w:w="1407"/>
          </w:tcPr>
          <w:p>
            <w:pPr>
              <w:spacing w:before="20" w:after="20"/>
              <w:jc w:val="left"/>
            </w:pPr>
            <w:r>
              <w:rPr>
                <w:rFonts w:ascii="Times New Roman" w:hAnsi="Times New Roman" w:eastAsia="Times New Roman"/>
                <w:b w:val="0"/>
                <w:sz w:val="18"/>
              </w:rPr>
              <w:t>9</w:t>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t>Công ty liên doanh, liên kết A</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t>-</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t>-</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t>Công ty liên doanh, liên kết B</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t>-</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t>-</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r>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t>- ……..</w:t>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c>
          <w:tcPr>
            <w:tcW w:type="dxa" w:w="1407"/>
          </w:tcPr>
          <w:p>
            <w:pPr>
              <w:spacing w:before="20" w:after="20"/>
              <w:jc w:val="left"/>
            </w:pPr>
            <w:r>
              <w:rPr>
                <w:rFonts w:ascii="Times New Roman" w:hAnsi="Times New Roman" w:eastAsia="Times New Roman"/>
                <w:b w:val="0"/>
                <w:sz w:val="18"/>
              </w:rPr>
            </w:r>
          </w:p>
        </w:tc>
      </w:tr>
    </w:tbl>
    <w:sectPr w:rsidR="00FC693F" w:rsidRPr="0006063C" w:rsidSect="00034616">
      <w:headerReference w:type="default" r:id="rId9"/>
      <w:footerReference w:type="default" r:id="rId10"/>
      <w:pgSz w:w="16838" w:h="11906" w:orient="landscape"/>
      <w:pgMar w:top="794" w:right="680" w:bottom="794"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Times New Roman" w:hAnsi="Times New Roman" w:eastAsia="Times New Roman"/>
        <w:color w:val="5C6862"/>
        <w:sz w:val="18"/>
      </w:rPr>
      <w:t xml:space="preserve">Hợp nhất báo cáo tài chính (TT 202/2014, sửa đổi bởi TT 43/2026) — biểu mẫu tải tại </w:t>
    </w:r>
    <w:hyperlink r:id="rId1">
      <w:r>
        <w:rPr>
          <w:rFonts w:ascii="Times New Roman" w:hAnsi="Times New Roman" w:eastAsia="Times New Roman"/>
          <w:color w:val="0B6E4F"/>
          <w:u w:val="single"/>
          <w:sz w:val="18"/>
        </w:rPr>
        <w:t>chedo.ketoanthue.net</w:t>
      </w:r>
    </w:hyperlink>
    <w:r>
      <w:rPr>
        <w:rFonts w:ascii="Times New Roman" w:hAnsi="Times New Roman" w:eastAsia="Times New Roman"/>
        <w:color w:val="5C6862"/>
        <w:sz w:val="18"/>
      </w:rPr>
      <w:t>. Đối chiếu bản công bố của Bộ Tài chính khi áp dụng chính thức.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Times New Roman" w:hAnsi="Times New Roman" w:eastAsia="Times New Roman"/>
        <w:b/>
        <w:color w:val="0B6E4F"/>
        <w:sz w:val="18"/>
      </w:rPr>
      <w:t>Chế Độ Kế Toán · ketoanthue.net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5"/>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hedo.ketoanthu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